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A5" w:rsidRPr="00011740" w:rsidRDefault="00555128">
      <w:pPr>
        <w:rPr>
          <w:b/>
        </w:rPr>
      </w:pPr>
      <w:bookmarkStart w:id="0" w:name="_GoBack"/>
      <w:bookmarkEnd w:id="0"/>
      <w:r w:rsidRPr="00011740">
        <w:rPr>
          <w:b/>
        </w:rPr>
        <w:t>NGO’s</w:t>
      </w:r>
      <w:r w:rsidR="00011740">
        <w:rPr>
          <w:b/>
        </w:rPr>
        <w:t>/Communities</w:t>
      </w:r>
    </w:p>
    <w:p w:rsidR="00555128" w:rsidRPr="00555128" w:rsidRDefault="00555128" w:rsidP="00555128">
      <w:pPr>
        <w:jc w:val="both"/>
        <w:rPr>
          <w:rFonts w:ascii="Arial" w:hAnsi="Arial" w:cs="Arial"/>
          <w:sz w:val="24"/>
        </w:rPr>
      </w:pPr>
      <w:r w:rsidRPr="00555128">
        <w:rPr>
          <w:rFonts w:ascii="Arial" w:hAnsi="Arial" w:cs="Arial"/>
          <w:sz w:val="24"/>
        </w:rPr>
        <w:t>We understand the important role the Non-Governmental Organizations (NGO’s), Civil Society Organizations (CSO) and faith based organizations (FBO’s) play in the society and we have invested in our professionals to be able to enhance organization’s full potential in communities through;-</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Advisory services</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Registration</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Compliance</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Donor accountability</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Corporate training</w:t>
      </w:r>
    </w:p>
    <w:p w:rsidR="00555128" w:rsidRPr="00555128" w:rsidRDefault="00555128" w:rsidP="00555128">
      <w:pPr>
        <w:pStyle w:val="ListParagraph"/>
        <w:numPr>
          <w:ilvl w:val="0"/>
          <w:numId w:val="1"/>
        </w:numPr>
        <w:ind w:left="540" w:hanging="450"/>
        <w:rPr>
          <w:rFonts w:ascii="Arial" w:hAnsi="Arial" w:cs="Arial"/>
          <w:sz w:val="24"/>
        </w:rPr>
      </w:pPr>
      <w:r w:rsidRPr="00555128">
        <w:rPr>
          <w:rFonts w:ascii="Arial" w:hAnsi="Arial" w:cs="Arial"/>
          <w:sz w:val="24"/>
        </w:rPr>
        <w:t>Research and surveys</w:t>
      </w:r>
    </w:p>
    <w:p w:rsidR="00555128" w:rsidRDefault="00555128" w:rsidP="00555128">
      <w:pPr>
        <w:ind w:left="90"/>
      </w:pPr>
    </w:p>
    <w:p w:rsidR="00555128" w:rsidRDefault="00555128"/>
    <w:p w:rsidR="00555128" w:rsidRDefault="00555128"/>
    <w:p w:rsidR="00555128" w:rsidRDefault="00555128"/>
    <w:sectPr w:rsidR="0055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12ABB"/>
    <w:multiLevelType w:val="hybridMultilevel"/>
    <w:tmpl w:val="21BA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28"/>
    <w:rsid w:val="00011740"/>
    <w:rsid w:val="002C2EA5"/>
    <w:rsid w:val="00555128"/>
    <w:rsid w:val="0090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4B9A7-DE2D-488C-8F5B-6AF7BAB3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okurapa -Chief Finance Officer</dc:creator>
  <cp:keywords/>
  <dc:description/>
  <cp:lastModifiedBy>samuel okurapa -Chief Finance Officer</cp:lastModifiedBy>
  <cp:revision>2</cp:revision>
  <dcterms:created xsi:type="dcterms:W3CDTF">2019-08-02T09:05:00Z</dcterms:created>
  <dcterms:modified xsi:type="dcterms:W3CDTF">2019-08-02T09:05:00Z</dcterms:modified>
</cp:coreProperties>
</file>